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Id="R37237866" Type="http://schemas.openxmlformats.org/officeDocument/2006/relationships/officeDocument" Target="/word/document.xml" /><Relationship Id="coreR37237866" Type="http://schemas.openxmlformats.org/package/2006/relationships/metadata/core-properties" Target="/docProps/core.xml" /><Relationship Id="customR37237866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spacing w:lineRule="exact" w:line="150"/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8790"/>
      </w:tblGrid>
      <w:tr>
        <w:trPr>
          <w:trHeight w:hRule="atLeast" w:val="375"/>
        </w:trPr>
        <w:tc>
          <w:tcPr>
            <w:tcW w:w="285" w:type="dxa"/>
          </w:tcPr>
          <w:p>
            <w:pPr>
              <w:rPr>
                <w:rStyle w:val="C3"/>
              </w:rPr>
            </w:pPr>
          </w:p>
        </w:tc>
        <w:tc>
          <w:tcPr>
            <w:tcW w:w="8790" w:type="dxa"/>
            <w:shd w:val="clear" w:color="auto" w:fill="auto"/>
            <w:vAlign w:val="top"/>
          </w:tcPr>
          <w:p>
            <w:pPr>
              <w:pStyle w:val="P1"/>
              <w:rPr>
                <w:rStyle w:val="C4"/>
                <w:rtl w:val="0"/>
              </w:rPr>
            </w:pPr>
            <w:r>
              <w:rPr>
                <w:rStyle w:val="C4"/>
                <w:rtl w:val="0"/>
              </w:rPr>
              <w:t>ПАСПОРТ</w:t>
            </w:r>
          </w:p>
        </w:tc>
      </w:tr>
      <w:tr>
        <w:trPr>
          <w:trHeight w:hRule="atLeast" w:val="375"/>
        </w:trPr>
        <w:tc>
          <w:tcPr>
            <w:tcW w:w="285" w:type="dxa"/>
          </w:tcPr>
          <w:p>
            <w:pPr>
              <w:rPr>
                <w:rStyle w:val="C3"/>
              </w:rPr>
            </w:pPr>
          </w:p>
        </w:tc>
        <w:tc>
          <w:tcPr>
            <w:tcW w:w="8790" w:type="dxa"/>
            <w:shd w:val="clear" w:color="auto" w:fill="auto"/>
            <w:vAlign w:val="top"/>
          </w:tcPr>
          <w:p>
            <w:pPr>
              <w:pStyle w:val="P1"/>
              <w:rPr>
                <w:rStyle w:val="C4"/>
                <w:rtl w:val="0"/>
              </w:rPr>
            </w:pPr>
            <w:r>
              <w:rPr>
                <w:rStyle w:val="C4"/>
                <w:rtl w:val="0"/>
              </w:rPr>
              <w:t>муниципальной программы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</w:rPr>
            </w:pPr>
          </w:p>
        </w:tc>
        <w:tc>
          <w:tcPr>
            <w:tcW w:w="8790" w:type="dxa"/>
            <w:shd w:val="clear" w:color="auto" w:fill="auto"/>
            <w:vAlign w:val="top"/>
          </w:tcPr>
          <w:p>
            <w:pPr>
              <w:pStyle w:val="P1"/>
              <w:rPr>
                <w:rStyle w:val="C4"/>
                <w:rtl w:val="0"/>
              </w:rPr>
            </w:pPr>
            <w:r>
              <w:rPr>
                <w:rStyle w:val="C4"/>
                <w:rtl w:val="0"/>
              </w:rPr>
              <w:t>«Развитие системы образования в Бисертском муниципальном округе до 2030 года»</w:t>
            </w:r>
          </w:p>
        </w:tc>
      </w:tr>
    </w:tbl>
    <w:p>
      <w:pPr>
        <w:spacing w:lineRule="exact" w:line="750"/>
        <w:rPr>
          <w:rtl w:val="0"/>
        </w:r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885"/>
        <w:gridCol w:w="4650"/>
      </w:tblGrid>
      <w:tr>
        <w:trPr>
          <w:trHeight w:hRule="atLeast" w:val="13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2"/>
              <w:rPr>
                <w:rStyle w:val="C5"/>
                <w:rtl w:val="0"/>
              </w:rPr>
            </w:pPr>
            <w:r>
              <w:rPr>
                <w:rStyle w:val="C5"/>
                <w:rtl w:val="0"/>
              </w:rPr>
              <w:t>Ответственный исполнитель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3"/>
              <w:rPr>
                <w:rStyle w:val="C6"/>
                <w:rtl w:val="0"/>
              </w:rPr>
            </w:pPr>
            <w:r>
              <w:rPr>
                <w:rStyle w:val="C6"/>
                <w:rtl w:val="0"/>
              </w:rPr>
              <w:t>Муниципальное казённое учреждение «Управление образования Бисертского муниципального округа»</w:t>
            </w:r>
          </w:p>
        </w:tc>
      </w:tr>
      <w:tr>
        <w:trPr>
          <w:trHeight w:hRule="atLeast" w:val="10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2"/>
              <w:rPr>
                <w:rStyle w:val="C5"/>
                <w:rtl w:val="0"/>
              </w:rPr>
            </w:pPr>
            <w:r>
              <w:rPr>
                <w:rStyle w:val="C5"/>
                <w:rtl w:val="0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4"/>
              <w:rPr>
                <w:rStyle w:val="C7"/>
                <w:rtl w:val="0"/>
              </w:rPr>
            </w:pPr>
            <w:r>
              <w:rPr>
                <w:rStyle w:val="C7"/>
                <w:rtl w:val="0"/>
              </w:rPr>
              <w:t>2014 -</w:t>
            </w:r>
          </w:p>
        </w:tc>
        <w:tc>
          <w:tcPr>
            <w:tcW w:w="4650" w:type="dxa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3"/>
              <w:rPr>
                <w:rStyle w:val="C6"/>
                <w:rtl w:val="0"/>
              </w:rPr>
            </w:pPr>
            <w:r>
              <w:rPr>
                <w:rStyle w:val="C6"/>
                <w:rtl w:val="0"/>
              </w:rPr>
              <w:t>2030 годы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2"/>
              <w:rPr>
                <w:rStyle w:val="C5"/>
                <w:rtl w:val="0"/>
              </w:rPr>
            </w:pPr>
            <w:r>
              <w:rPr>
                <w:rStyle w:val="C5"/>
                <w:rtl w:val="0"/>
              </w:rPr>
              <w:t>Цели и задачи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3"/>
              <w:rPr>
                <w:rStyle w:val="C6"/>
                <w:rtl w:val="0"/>
              </w:rPr>
            </w:pPr>
            <w:r>
              <w:rPr>
                <w:rStyle w:val="C6"/>
                <w:rtl w:val="0"/>
              </w:rPr>
              <w:t>Цель 1. Обеспечение 100-процентной доступности дошкольного образования для детей в возрасте от 1-6 лет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1.1.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организациях.</w:t>
            </w:r>
          </w:p>
        </w:tc>
      </w:tr>
      <w:tr>
        <w:trPr>
          <w:trHeight w:hRule="atLeast" w:val="16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1.2. Обеспечение воспитания и обучения детей – инвалидов дошкольного возраста, проживающих в Бисертском муниципальном округе, на дому, в дошкольных образовательных организациях.</w:t>
            </w:r>
          </w:p>
        </w:tc>
      </w:tr>
      <w:tr>
        <w:trPr>
          <w:trHeight w:hRule="atLeast" w:val="9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1.3. Обеспечение в полном объеме расходных полномочий и исключение встречных финансовых потоков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2. Обеспечение доступности качественного общего образования, соответствующего требованиям инновационного социально – экономического развития.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2.1. Обеспечение детей современными условиями при реализации стандарта общего образования.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"/>
          <w:footerReference xmlns:r="http://schemas.openxmlformats.org/officeDocument/2006/relationships" w:type="default" r:id="RelFtr1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3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2.2. Обеспечение функционирования общеобразовательных организаций в рамках национальной образовательной инициативы «Наша новая школа»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2.3. Осуществление мероприятий по организации питания в муниципальных общеобразовательных организациях.</w:t>
            </w:r>
          </w:p>
        </w:tc>
      </w:tr>
      <w:tr>
        <w:trPr>
          <w:trHeight w:hRule="atLeast" w:val="22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2.4. 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Бисертского муниципального округа.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2.5. 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организациях.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2.6. Обеспечение ежемесячного денежного вознаграждения за классное руководство педагогическим работникам</w:t>
            </w:r>
          </w:p>
        </w:tc>
      </w:tr>
      <w:tr>
        <w:trPr>
          <w:trHeight w:hRule="atLeast" w:val="9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2.7. Обеспечение в полном объеме расходных полномочий и исключение встречных финансовых потоков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2.8. Приобретение оборудования для производственных помещений столовых общеобразовательных организаций на создание условий организации горячего питания обучающихся.</w:t>
            </w:r>
          </w:p>
        </w:tc>
      </w:tr>
      <w:tr>
        <w:trPr>
          <w:trHeight w:hRule="atLeast" w:val="16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2.9.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2"/>
          <w:footerReference xmlns:r="http://schemas.openxmlformats.org/officeDocument/2006/relationships" w:type="default" r:id="RelFtr2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357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2.10. Обеспечение дополнительных гарантий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муниципальных образовательных организациях, расположенных на территории Бисертского муниципального округа</w:t>
            </w:r>
          </w:p>
        </w:tc>
      </w:tr>
      <w:tr>
        <w:trPr>
          <w:trHeight w:hRule="atLeast" w:val="19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3. Приведение материально-технической базы образовательных организаций в соответствие с современными требованиями к условиям реализации государственных образовательных стандартов.</w:t>
            </w:r>
          </w:p>
        </w:tc>
      </w:tr>
      <w:tr>
        <w:trPr>
          <w:trHeight w:hRule="atLeast" w:val="19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3.1. Обеспечение соответствия состояния зданий и помещений муниципальных образовательных организаций требованиям пожарной безопасности и санитарного законодательства.</w:t>
            </w:r>
          </w:p>
        </w:tc>
      </w:tr>
      <w:tr>
        <w:trPr>
          <w:trHeight w:hRule="atLeast" w:val="19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3.2. Создание в образовательных организациях условий для успешной социализации детей с ограниченными возможностями здоровья и детей – инвалидов, а также детей-сирот и детей, оставшихся без попечения родителей.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3"/>
          <w:footerReference xmlns:r="http://schemas.openxmlformats.org/officeDocument/2006/relationships" w:type="default" r:id="RelFtr3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712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3.3. Реализация основных общеобразовательных программ по учебным предметам естественно-научной и технологической направленностей, в том числе в рамках внеурочной деятельности обучающихся,разработка и реализация разноуровневых дополнительных общеобразовательных программ естественно-научной и технической направленностей, а так же иных программ , в том числе в каникулярный период, вовлечение обучающихся и педагогических работников в проектную деятельность,организация внеучебной деятельности в каникулярный период, разработка и реализация соответствующих программ, в том числе для лагерей, организованных образовательными организациями в каникулярный период, повышение профессионального мастерства педагогических работников, реализующих основные и дополнительные общеобразовательные программы.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3.4. Модернизация школьных систем образования в части мероприятий по капитальному ремонту зданий муниципальных общеобразовательных организаций.</w:t>
            </w:r>
          </w:p>
        </w:tc>
      </w:tr>
      <w:tr>
        <w:trPr>
          <w:trHeight w:hRule="atLeast" w:val="13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4. Создание условий, обеспечивающих возможность систематически заниматься физической культурой и спортом, вести здоровый образ жизни</w:t>
            </w:r>
          </w:p>
        </w:tc>
      </w:tr>
      <w:tr>
        <w:trPr>
          <w:trHeight w:hRule="atLeast" w:val="13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4.1. Формирование у обучающихся ответственного отношения к собственному здоровью и мотивации к здоровому образу жизни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4"/>
          <w:footerReference xmlns:r="http://schemas.openxmlformats.org/officeDocument/2006/relationships" w:type="default" r:id="RelFtr4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22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4.2.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 на территории Бисертского муниципального округа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4.3. Поэтапное внедрение Всероссийского физкультурно-спортивного комплекса "Готов к труду и обороне" (ГТО) на территории Бисертского муниципального округа.</w:t>
            </w:r>
          </w:p>
        </w:tc>
      </w:tr>
      <w:tr>
        <w:trPr>
          <w:trHeight w:hRule="atLeast" w:val="13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5. Обеспечение доступности качественных образовательных услуг в сфере дополнительного образования в Бисертском муниципальном округе.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5.1. Развитие системы дополнительного образования детей.</w:t>
            </w:r>
          </w:p>
        </w:tc>
      </w:tr>
      <w:tr>
        <w:trPr>
          <w:trHeight w:hRule="atLeast" w:val="9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5.2. Обеспечение в полном объеме расходных полномочий и исключение встречных финансовых потоков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6. Создание условий для сохранения здоровья и развития детей в Бисертском муниципальном округе.</w:t>
            </w:r>
          </w:p>
        </w:tc>
      </w:tr>
      <w:tr>
        <w:trPr>
          <w:trHeight w:hRule="atLeast" w:val="6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6.1. Совершенствование форм организации отдыха и оздоровления детей.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7. Обеспечение муниципальных мероприятий и государственная поддержка в сфере образования.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7.1. Обеспечение исполнения полномочий МКУ Управление образования</w:t>
            </w:r>
          </w:p>
        </w:tc>
      </w:tr>
      <w:tr>
        <w:trPr>
          <w:trHeight w:hRule="atLeast" w:val="9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8. Приобретение муниципальными организациями устройств (средств) дезинфекции и медицинского контроля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8.1. Профилактика и устранение последствий распространения новой коронавирусной инфекции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5"/>
          <w:footerReference xmlns:r="http://schemas.openxmlformats.org/officeDocument/2006/relationships" w:type="default" r:id="RelFtr5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6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9. Активизация участия жителей Бисертского муниципального округа в определении приоритетов расходования средств и поддержка инициатив жителей в решении вопросов</w:t>
            </w:r>
          </w:p>
        </w:tc>
      </w:tr>
      <w:tr>
        <w:trPr>
          <w:trHeight w:hRule="atLeast" w:val="9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9.1. Развитие взаимодействия образовательных организаций и населения Бисертского муниципального округа</w:t>
            </w:r>
          </w:p>
        </w:tc>
      </w:tr>
      <w:tr>
        <w:trPr>
          <w:trHeight w:hRule="atLeast" w:val="13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Цель 10. Обеспечение кадрами с целью устранения кадрового дефицита в образовательных организациях Бисертского муниципального округа.</w:t>
            </w:r>
          </w:p>
        </w:tc>
      </w:tr>
      <w:tr>
        <w:trPr>
          <w:trHeight w:hRule="atLeast" w:val="9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Задача 10.1. Устранение кадрового дефицита о образовательных организациях Бисертского муниципального округа</w:t>
            </w:r>
          </w:p>
        </w:tc>
      </w:tr>
      <w:tr>
        <w:trPr>
          <w:trHeight w:hRule="atLeast" w:val="13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2"/>
              <w:rPr>
                <w:rStyle w:val="C5"/>
                <w:rtl w:val="0"/>
              </w:rPr>
            </w:pPr>
            <w:r>
              <w:rPr>
                <w:rStyle w:val="C5"/>
                <w:rtl w:val="0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3"/>
              <w:rPr>
                <w:rStyle w:val="C6"/>
                <w:rtl w:val="0"/>
              </w:rPr>
            </w:pPr>
            <w:r>
              <w:rPr>
                <w:rStyle w:val="C6"/>
                <w:rtl w:val="0"/>
              </w:rPr>
              <w:t>1. "Развитие системы дошкольного образования в Бисертском муниципальном округе"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2. "Развитие системы общего образования в Бисертском муниципальном округе"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3. "Развитие системы дополнительного образования в Бисертском муниципальном округе"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4. "Обеспечение сохранения здоровья детей в Бисертском муниципальном округе" муниципальной программы "Развитие системы образования в Бисертском муниципальном округе до 2030 года"</w:t>
            </w:r>
          </w:p>
        </w:tc>
      </w:tr>
      <w:tr>
        <w:trPr>
          <w:trHeight w:hRule="atLeast" w:val="13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5. "Обеспечение реализации муниципальной программы "Развитие системы образования в Бисертском муниципальном округе до 2030 года</w:t>
            </w:r>
          </w:p>
        </w:tc>
      </w:tr>
      <w:tr>
        <w:trPr>
          <w:trHeight w:hRule="atLeast" w:val="16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6. "Профилактика и устранение последствий распространения новой коронавирусной инфекции" муниципальной программы "Развитие системы образования в Бисертском муниципальном округе"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7. "Внедрение механизмов инициативного бюджетирования"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6"/>
          <w:footerReference xmlns:r="http://schemas.openxmlformats.org/officeDocument/2006/relationships" w:type="default" r:id="RelFtr6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8. "Меры поддержки граждан в период целевого обучения"</w:t>
            </w:r>
          </w:p>
        </w:tc>
      </w:tr>
      <w:tr>
        <w:trPr>
          <w:trHeight w:hRule="atLeast" w:val="234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8"/>
              <w:rPr>
                <w:rStyle w:val="C11"/>
                <w:rtl w:val="0"/>
              </w:rPr>
            </w:pPr>
            <w:r>
              <w:rPr>
                <w:rStyle w:val="C11"/>
                <w:rtl w:val="0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9"/>
              <w:rPr>
                <w:rStyle w:val="C12"/>
                <w:rtl w:val="0"/>
              </w:rPr>
            </w:pPr>
            <w:r>
              <w:rPr>
                <w:rStyle w:val="C12"/>
                <w:rtl w:val="0"/>
              </w:rPr>
              <w:t>1. Доля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 (процентов)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области.</w:t>
            </w:r>
          </w:p>
        </w:tc>
      </w:tr>
      <w:tr>
        <w:trPr>
          <w:trHeight w:hRule="atLeast" w:val="462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3. Соотношение уровня средней заработной платы педагогических работников,реализующих программы дошкольного образования формируется на основании соглашения о предоставлении субвенции из областного бюджета местному бюджету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Бисертского муниципального округа.</w:t>
            </w:r>
          </w:p>
        </w:tc>
      </w:tr>
      <w:tr>
        <w:trPr>
          <w:trHeight w:hRule="atLeast" w:val="16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4. Охват детей-инвалидов дошкольного возраста, проживающих в Бисертском муниципальном округе, обучением на дому, в дошкольных образовательных организациях.</w:t>
            </w:r>
          </w:p>
        </w:tc>
      </w:tr>
      <w:tr>
        <w:trPr>
          <w:trHeight w:hRule="atLeast" w:val="6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5. Освобождение от уплаты земельного налога организаций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7"/>
          <w:footerReference xmlns:r="http://schemas.openxmlformats.org/officeDocument/2006/relationships" w:type="default" r:id="RelFtr7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6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6. Доля общеобразовательных организаций, перешедших на федеральный государственный образовательный стандарт общего образования, в общем количестве.</w:t>
            </w:r>
          </w:p>
        </w:tc>
      </w:tr>
      <w:tr>
        <w:trPr>
          <w:trHeight w:hRule="atLeast" w:val="39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7. 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8. 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организаций.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9. Охват организованным горячим питанием учащихся общеобразовательных организаций.</w:t>
            </w:r>
          </w:p>
        </w:tc>
      </w:tr>
      <w:tr>
        <w:trPr>
          <w:trHeight w:hRule="atLeast" w:val="331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10. 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муниципальных образовательных организациях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8"/>
          <w:footerReference xmlns:r="http://schemas.openxmlformats.org/officeDocument/2006/relationships" w:type="default" r:id="RelFtr8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232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11.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(процентов)</w:t>
            </w:r>
          </w:p>
        </w:tc>
      </w:tr>
      <w:tr>
        <w:trPr>
          <w:trHeight w:hRule="atLeast" w:val="16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12. Соотношение уровня средней заработной платы учителей общеобразовательных школ и средней заработной платы в экономике Свердловской области.</w:t>
            </w:r>
          </w:p>
        </w:tc>
      </w:tr>
      <w:tr>
        <w:trPr>
          <w:trHeight w:hRule="atLeast" w:val="52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13. Соотношение уровня средней заработной платы педагогических работников,реализующих программы начального общего образования,основного общего и среднего общего образования формируется на основании соглашения о предоставлении субвенции из областного бюджета местному бюджету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Бисертского муниципального округа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14.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</w:tr>
      <w:tr>
        <w:trPr>
          <w:trHeight w:hRule="atLeast" w:val="6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15. Освобождение от уплаты земельного налога организаций</w:t>
            </w:r>
          </w:p>
        </w:tc>
      </w:tr>
      <w:tr>
        <w:trPr>
          <w:trHeight w:hRule="atLeast" w:val="13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16. Обеспечение общеобразовательных организаций оборудованием для производственных помещений столовых в текущем году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9"/>
          <w:footerReference xmlns:r="http://schemas.openxmlformats.org/officeDocument/2006/relationships" w:type="default" r:id="RelFtr9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6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17. Количество ставок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</w:tc>
      </w:tr>
      <w:tr>
        <w:trPr>
          <w:trHeight w:hRule="atLeast" w:val="330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18. Доля детей-сирот,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муниципальных образовательных организациях, которым обеспечены дополнительные гарантии по социальной поддержке.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19.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      </w:r>
          </w:p>
        </w:tc>
      </w:tr>
      <w:tr>
        <w:trPr>
          <w:trHeight w:hRule="atLeast" w:val="16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20. Доля общеобразовательных организаций, имеющих медицинские кабинеты, оснащенные необходимым медицинским оборудованием и прошедших лицензирование.</w:t>
            </w:r>
          </w:p>
        </w:tc>
      </w:tr>
      <w:tr>
        <w:trPr>
          <w:trHeight w:hRule="atLeast" w:val="13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21. Доля детей, в возрасте 6,5-18 лет охваченных общеобразовательными программами в общей численности детей в возрасте 6,5-18 лет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22. Доля детей-инвалидов, получающих общее образование на дому в дистанционной форме, от общей численности детей-инвалидов, которым не противопоказано обучение по дистанционным технологиям.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0"/>
          <w:footerReference xmlns:r="http://schemas.openxmlformats.org/officeDocument/2006/relationships" w:type="default" r:id="RelFtr10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6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23. Количество модернизированных кабинетов в общеобразовательной организации для естественно-научного цикла и профориентационной работы в текущем году</w:t>
            </w:r>
          </w:p>
        </w:tc>
      </w:tr>
      <w:tr>
        <w:trPr>
          <w:trHeight w:hRule="atLeast" w:val="16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24. Количество модернизированных кабинетов в общеобразовательной организации для естественно-научной и технологической направленностей центра "Точка роста" в текущем году.</w:t>
            </w:r>
          </w:p>
        </w:tc>
      </w:tr>
      <w:tr>
        <w:trPr>
          <w:trHeight w:hRule="atLeast" w:val="16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25. Доля педагогических работников центра "Точка роста", прошедших обучение по программам из реестра программ повышения квалификации федерального оператора в текущем году</w:t>
            </w:r>
          </w:p>
        </w:tc>
      </w:tr>
      <w:tr>
        <w:trPr>
          <w:trHeight w:hRule="atLeast" w:val="232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26. Количество муниципальных общеобразовательных организаций, в которых проведены работы по созданию условий для реализации образовательных программ естественно-научного цикла и профориентационной работы в текущем году.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27. Количество муниципальных общеобразовательных организаций, в которых открыты(модернизированы) кабинеты естественно-научного цикла и технологической направленностей центра "Точка роста" в текущем году</w:t>
            </w:r>
          </w:p>
        </w:tc>
      </w:tr>
      <w:tr>
        <w:trPr>
          <w:trHeight w:hRule="atLeast" w:val="13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28. Количество проектов, которые подготовлены в рамках мероприятий по капитальному ремонту общеобразовательных организаций.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29. Количество модернизированных объектов пришкольной территории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30. Доля обучающихся Бисертского муниципального округа, систематически занимающихся физической культурой и спортом, в общей численности обучающихся Бисертского муниципального округа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1"/>
          <w:footerReference xmlns:r="http://schemas.openxmlformats.org/officeDocument/2006/relationships" w:type="default" r:id="RelFtr11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6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31. Создание условий для обучающихся Бисертского муниципального округа, систематически занимающихся физической культурой и спортом в текущем году.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32. 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данной категории населения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33. Создание условий для лиц с ограниченными возможностями здоровья и инвалидов в возрасте от 6 до 18 лет, систематически занимающихся физической культурой и спортом в текущем году.</w:t>
            </w:r>
          </w:p>
        </w:tc>
      </w:tr>
      <w:tr>
        <w:trPr>
          <w:trHeight w:hRule="atLeast" w:val="232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34. Доля обучающихся Бисертского муниципального округа, выполнивших нормативы Всероссийского физкультурно-спортивного комплекса "Готов к труду и обороне" (ГТО), в общей численности обучающихся, принявшего участие в сдаче нормативов комплекса.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35. Создание условий обучающимся Бисертского муниципального округа для сдачи нормативов Всероссийского физкультурно-спортивного комплекса "Готов к труду и обороне" (ГТО) в текущем году.</w:t>
            </w:r>
          </w:p>
        </w:tc>
      </w:tr>
      <w:tr>
        <w:trPr>
          <w:trHeight w:hRule="atLeast" w:val="330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 xml:space="preserve">36. Доля населения Свердловской области, выполнившего нормативы испытаний (тестов) Всероссийского физкультурно-спортивного комплекса  "Готов к труду и обороне"(ГТО),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обороне"(ГТО)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2"/>
          <w:footerReference xmlns:r="http://schemas.openxmlformats.org/officeDocument/2006/relationships" w:type="default" r:id="RelFtr12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68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37. Доля детей, охваченных образовательными программами дополнительного образования детей, в общей численности детей и молодежи в возрасте 5-18 лет.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38. 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в Свердловской области</w:t>
            </w:r>
          </w:p>
        </w:tc>
      </w:tr>
      <w:tr>
        <w:trPr>
          <w:trHeight w:hRule="atLeast" w:val="13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 xml:space="preserve">39. Доля зданий муниципальных учреждений дополнительного образования в которых произведен  капитальный  ремонт</w:t>
            </w:r>
          </w:p>
        </w:tc>
      </w:tr>
      <w:tr>
        <w:trPr>
          <w:trHeight w:hRule="atLeast" w:val="331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 xml:space="preserve">40. Соотношение заработной платы педагогических работников муниципальных учреждений дополнительного образования детей  100% к средней заработной плате учителей муниципальных образовательных организаций общего образования в муниципальном образовании расположенном на территории Бисертского муниципального округа</w:t>
            </w:r>
          </w:p>
        </w:tc>
      </w:tr>
      <w:tr>
        <w:trPr>
          <w:trHeight w:hRule="atLeast" w:val="10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41. Количество реконструируемых объектов спортивной инфраструктуры в текущем году</w:t>
            </w:r>
          </w:p>
        </w:tc>
      </w:tr>
      <w:tr>
        <w:trPr>
          <w:trHeight w:hRule="atLeast" w:val="6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42. Освобождение от уплаты земельного налога организаций</w:t>
            </w:r>
          </w:p>
        </w:tc>
      </w:tr>
      <w:tr>
        <w:trPr>
          <w:trHeight w:hRule="atLeast" w:val="133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43. Доля детей и подростков, получивших услуги по организации отдыха и оздоровления от общей численности детей школьного возраста.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44. Количество детей отдельных категорий, проживающих на территории Бисертского муниципального округа,охваченных отдыхом в организациях расположенных на побережье Черного моря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3"/>
          <w:footerReference xmlns:r="http://schemas.openxmlformats.org/officeDocument/2006/relationships" w:type="default" r:id="RelFtr13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13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45. Количество несовершеннолетних граждан в возрасте от 14 до 18 лет, временно трудоустроенных на территории Бисертского муниципального округа</w:t>
            </w:r>
          </w:p>
        </w:tc>
      </w:tr>
      <w:tr>
        <w:trPr>
          <w:trHeight w:hRule="atLeast" w:val="67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46. Количество детей участвующих в военных и спортивных сборах</w:t>
            </w:r>
          </w:p>
        </w:tc>
      </w:tr>
      <w:tr>
        <w:trPr>
          <w:trHeight w:hRule="atLeast" w:val="13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47. Количество медицинских пунктов в муниципальных образовательных организациях, для которых было приобретено оборудование</w:t>
            </w:r>
          </w:p>
        </w:tc>
      </w:tr>
      <w:tr>
        <w:trPr>
          <w:trHeight w:hRule="atLeast" w:val="265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48. Доля аттестованных педагогических работников муниципальных образовательных организаций Бисертского муниципального округа от числа педагогических работников муниципальных образовательных организаций Бисертского муниципального округа, подлежащих аттестации.</w:t>
            </w:r>
          </w:p>
        </w:tc>
      </w:tr>
      <w:tr>
        <w:trPr>
          <w:trHeight w:hRule="atLeast" w:val="19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49. Доля целевых показателей муниципальной программы «Развитие системы образования в Бисертском муниципальном округе до 2030 года», значения которых достигли или превысили запланированные.</w:t>
            </w:r>
          </w:p>
        </w:tc>
      </w:tr>
      <w:tr>
        <w:trPr>
          <w:trHeight w:hRule="atLeast" w:val="16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50. Доля проведенных мероприятий с участием руководителей органов местного самоуправления, осуществляющих управление в сфере образования от запланированных.</w:t>
            </w:r>
          </w:p>
        </w:tc>
      </w:tr>
      <w:tr>
        <w:trPr>
          <w:trHeight w:hRule="atLeast" w:val="69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51. Количество проведенных мероприятий в сфере образования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4"/>
          <w:footerReference xmlns:r="http://schemas.openxmlformats.org/officeDocument/2006/relationships" w:type="default" r:id="RelFtr14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495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52. Обеспечение организаций устройствами (средствами) дезинфекции и медицинского контроля для муниципальных организаций в целях профилактики и устранения последствий распространения новой коронавирусной инфекции в целях выполнения требований Федеральной службы по надзору в сфере защиты прав потребителей и благополучия человека по профилактике и устранению последствий распространения новой коронавирусной инфекции для поэтапного возобновления деятельности муниципальных организаций в текущем году.</w:t>
            </w:r>
          </w:p>
        </w:tc>
      </w:tr>
      <w:tr>
        <w:trPr>
          <w:trHeight w:hRule="atLeast" w:val="166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53. Количество выпускников муниципальных образовательных организаций, обучающихся по целевому направлению, которым обеспечена дополнительная поддержка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2"/>
              <w:rPr>
                <w:rStyle w:val="C5"/>
                <w:rtl w:val="0"/>
              </w:rPr>
            </w:pPr>
            <w:r>
              <w:rPr>
                <w:rStyle w:val="C5"/>
                <w:rtl w:val="0"/>
              </w:rPr>
              <w:t>Объем финансирования</w:t>
            </w:r>
          </w:p>
        </w:tc>
        <w:tc>
          <w:tcPr>
            <w:tcW w:w="5535" w:type="dxa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3"/>
              <w:rPr>
                <w:rStyle w:val="C6"/>
                <w:rtl w:val="0"/>
              </w:rPr>
            </w:pPr>
            <w:r>
              <w:rPr>
                <w:rStyle w:val="C6"/>
                <w:rtl w:val="0"/>
              </w:rPr>
              <w:t>ВСЕГО: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  <w:r>
              <w:rPr>
                <w:rStyle w:val="C10"/>
                <w:rtl w:val="0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7 030 155,29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  <w:r>
              <w:rPr>
                <w:rStyle w:val="C10"/>
                <w:rtl w:val="0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в том числе:</w:t>
            </w:r>
          </w:p>
        </w:tc>
      </w:tr>
      <w:tr>
        <w:trPr>
          <w:trHeight w:hRule="atLeast" w:val="550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7"/>
              <w:rPr>
                <w:rStyle w:val="C10"/>
                <w:rtl w:val="0"/>
              </w:rPr>
            </w:pPr>
            <w:r>
              <w:rPr>
                <w:rStyle w:val="C10"/>
                <w:rtl w:val="0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 xml:space="preserve">2014 год - 181 248,00 тыс. рублей, </w:t>
              <w:br w:type="textWrapping"/>
              <w:t xml:space="preserve">2015 год - 196 589,80 тыс. рублей, </w:t>
              <w:br w:type="textWrapping"/>
              <w:t xml:space="preserve">2016 год - 208 666,10 тыс. рублей, </w:t>
              <w:br w:type="textWrapping"/>
              <w:t xml:space="preserve">2017 год - 221 163,09 тыс. рублей, </w:t>
              <w:br w:type="textWrapping"/>
              <w:t xml:space="preserve">2018 год - 250 854,32 тыс. рублей, </w:t>
              <w:br w:type="textWrapping"/>
              <w:t xml:space="preserve">2019 год - 283 204,24 тыс. рублей, </w:t>
              <w:br w:type="textWrapping"/>
              <w:t xml:space="preserve">2020 год - 294 530,87 тыс. рублей, </w:t>
              <w:br w:type="textWrapping"/>
              <w:t xml:space="preserve">2021 год - 315 058,44 тыс. рублей, </w:t>
              <w:br w:type="textWrapping"/>
              <w:t xml:space="preserve">2022 год - 356 914,80 тыс. рублей, </w:t>
              <w:br w:type="textWrapping"/>
              <w:t xml:space="preserve">2023 год - 418 038,50 тыс. рублей, </w:t>
              <w:br w:type="textWrapping"/>
              <w:t xml:space="preserve">2024 год - 495 152,10 тыс. рублей, </w:t>
              <w:br w:type="textWrapping"/>
              <w:t xml:space="preserve">2025 год - 565 639,59 тыс. рублей, </w:t>
              <w:br w:type="textWrapping"/>
              <w:t xml:space="preserve">2026 год - 657 881,64 тыс. рублей, </w:t>
              <w:br w:type="textWrapping"/>
              <w:t xml:space="preserve">2027 год - 611 610,60 тыс. рублей, </w:t>
              <w:br w:type="textWrapping"/>
              <w:t xml:space="preserve">2028 год - 635 761,70 тыс. рублей, </w:t>
              <w:br w:type="textWrapping"/>
              <w:t xml:space="preserve">2029 год - 655 798,50 тыс. рублей, </w:t>
              <w:br w:type="textWrapping"/>
              <w:t>2030 год - 682 043,00 тыс. рублей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5"/>
          <w:footerReference xmlns:r="http://schemas.openxmlformats.org/officeDocument/2006/relationships" w:type="default" r:id="RelFtr15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5"/>
              <w:rPr>
                <w:rStyle w:val="C8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6"/>
              <w:rPr>
                <w:rStyle w:val="C9"/>
                <w:rtl w:val="0"/>
              </w:rPr>
            </w:pPr>
            <w:r>
              <w:rPr>
                <w:rStyle w:val="C9"/>
                <w:rtl w:val="0"/>
              </w:rPr>
              <w:t>из них: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областной бюджет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3 749 935,42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в том числе:</w:t>
            </w:r>
          </w:p>
        </w:tc>
      </w:tr>
      <w:tr>
        <w:trPr>
          <w:trHeight w:hRule="atLeast" w:val="561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 xml:space="preserve">2014 год - 84 683,00 тыс. рублей, </w:t>
              <w:br w:type="textWrapping"/>
              <w:t xml:space="preserve">2015 год - 87 597,20 тыс. рублей, </w:t>
              <w:br w:type="textWrapping"/>
              <w:t xml:space="preserve">2016 год - 110 177,20 тыс. рублей, </w:t>
              <w:br w:type="textWrapping"/>
              <w:t xml:space="preserve">2017 год - 115 147,50 тыс. рублей, </w:t>
              <w:br w:type="textWrapping"/>
              <w:t xml:space="preserve">2018 год - 127 662,91 тыс. рублей, </w:t>
              <w:br w:type="textWrapping"/>
              <w:t xml:space="preserve">2019 год - 137 212,80 тыс. рублей, </w:t>
              <w:br w:type="textWrapping"/>
              <w:t xml:space="preserve">2020 год - 153 518,88 тыс. рублей, </w:t>
              <w:br w:type="textWrapping"/>
              <w:t xml:space="preserve">2021 год - 162 035,59 тыс. рублей, </w:t>
              <w:br w:type="textWrapping"/>
              <w:t xml:space="preserve">2022 год - 181 086,90 тыс. рублей, </w:t>
              <w:br w:type="textWrapping"/>
              <w:t xml:space="preserve">2023 год - 205 601,14 тыс. рублей, </w:t>
              <w:br w:type="textWrapping"/>
              <w:t xml:space="preserve">2024 год - 256 865,90 тыс. рублей, </w:t>
              <w:br w:type="textWrapping"/>
              <w:t xml:space="preserve">2025 год - 291 835,20 тыс. рублей, </w:t>
              <w:br w:type="textWrapping"/>
              <w:t xml:space="preserve">2026 год - 326 781,70 тыс. рублей, </w:t>
              <w:br w:type="textWrapping"/>
              <w:t xml:space="preserve">2027 год - 348 075,20 тыс. рублей, </w:t>
              <w:br w:type="textWrapping"/>
              <w:t xml:space="preserve">2028 год - 370 392,30 тыс. рублей, </w:t>
              <w:br w:type="textWrapping"/>
              <w:t xml:space="preserve">2029 год - 387 870,00 тыс. рублей, </w:t>
              <w:br w:type="textWrapping"/>
              <w:t>2030 год - 403 392,00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федеральный бюджет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111 508,52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в том числе: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6"/>
          <w:footerReference xmlns:r="http://schemas.openxmlformats.org/officeDocument/2006/relationships" w:type="default" r:id="RelFtr16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561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 xml:space="preserve">2014 год - 0,00 тыс. рублей, </w:t>
              <w:br w:type="textWrapping"/>
              <w:t xml:space="preserve">2015 год - 0,00 тыс. рублей, </w:t>
              <w:br w:type="textWrapping"/>
              <w:t xml:space="preserve">2016 год - 0,00 тыс. рублей, </w:t>
              <w:br w:type="textWrapping"/>
              <w:t xml:space="preserve">2017 год - 0,00 тыс. рублей, </w:t>
              <w:br w:type="textWrapping"/>
              <w:t xml:space="preserve">2018 год - 0,00 тыс. рублей, </w:t>
              <w:br w:type="textWrapping"/>
              <w:t xml:space="preserve">2019 год - 0,00 тыс. рублей, </w:t>
              <w:br w:type="textWrapping"/>
              <w:t xml:space="preserve">2020 год - 4 121,39 тыс. рублей, </w:t>
              <w:br w:type="textWrapping"/>
              <w:t xml:space="preserve">2021 год - 11 072,20 тыс. рублей, </w:t>
              <w:br w:type="textWrapping"/>
              <w:t xml:space="preserve">2022 год - 11 987,94 тыс. рублей, </w:t>
              <w:br w:type="textWrapping"/>
              <w:t xml:space="preserve">2023 год - 12 816,00 тыс. рублей, </w:t>
              <w:br w:type="textWrapping"/>
              <w:t xml:space="preserve">2024 год - 17 695,89 тыс. рублей, </w:t>
              <w:br w:type="textWrapping"/>
              <w:t xml:space="preserve">2025 год - 18 767,40 тыс. рублей, </w:t>
              <w:br w:type="textWrapping"/>
              <w:t xml:space="preserve">2026 год - 20 066,70 тыс. рублей, </w:t>
              <w:br w:type="textWrapping"/>
              <w:t xml:space="preserve">2027 год - 7 648,50 тыс. рублей, </w:t>
              <w:br w:type="textWrapping"/>
              <w:t xml:space="preserve">2028 год - 7 332,50 тыс. рублей, </w:t>
              <w:br w:type="textWrapping"/>
              <w:t xml:space="preserve">2029 год - 0,00 тыс. рублей, </w:t>
              <w:br w:type="textWrapping"/>
              <w:t>2030 год - 0,00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местный бюджет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3 168 454,35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в том числе:</w:t>
            </w:r>
          </w:p>
        </w:tc>
      </w:tr>
      <w:tr>
        <w:trPr>
          <w:trHeight w:hRule="atLeast" w:val="5595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 xml:space="preserve">2014 год - 96 565,00 тыс. рублей, </w:t>
              <w:br w:type="textWrapping"/>
              <w:t xml:space="preserve">2015 год - 108 864,10 тыс. рублей, </w:t>
              <w:br w:type="textWrapping"/>
              <w:t xml:space="preserve">2016 год - 98 360,40 тыс. рублей, </w:t>
              <w:br w:type="textWrapping"/>
              <w:t xml:space="preserve">2017 год - 106 015,59 тыс. рублей, </w:t>
              <w:br w:type="textWrapping"/>
              <w:t xml:space="preserve">2018 год - 123 191,41 тыс. рублей, </w:t>
              <w:br w:type="textWrapping"/>
              <w:t xml:space="preserve">2019 год - 145 991,44 тыс. рублей, </w:t>
              <w:br w:type="textWrapping"/>
              <w:t xml:space="preserve">2020 год - 136 890,60 тыс. рублей, </w:t>
              <w:br w:type="textWrapping"/>
              <w:t xml:space="preserve">2021 год - 141 950,65 тыс. рублей, </w:t>
              <w:br w:type="textWrapping"/>
              <w:t xml:space="preserve">2022 год - 163 839,96 тыс. рублей, </w:t>
              <w:br w:type="textWrapping"/>
              <w:t xml:space="preserve">2023 год - 199 621,36 тыс. рублей, </w:t>
              <w:br w:type="textWrapping"/>
              <w:t xml:space="preserve">2024 год - 220 590,31 тыс. рублей, </w:t>
              <w:br w:type="textWrapping"/>
              <w:t xml:space="preserve">2025 год - 255 036,99 тыс. рублей, </w:t>
              <w:br w:type="textWrapping"/>
              <w:t xml:space="preserve">2026 год - 311 033,24 тыс. рублей, </w:t>
              <w:br w:type="textWrapping"/>
              <w:t xml:space="preserve">2027 год - 255 886,90 тыс. рублей, </w:t>
              <w:br w:type="textWrapping"/>
              <w:t xml:space="preserve">2028 год - 258 036,90 тыс. рублей, </w:t>
              <w:br w:type="textWrapping"/>
              <w:t xml:space="preserve">2029 год - 267 928,50 тыс. рублей, </w:t>
              <w:br w:type="textWrapping"/>
              <w:t>2030 год - 278 651,00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1"/>
              <w:rPr>
                <w:rStyle w:val="C14"/>
                <w:rtl w:val="0"/>
              </w:rPr>
            </w:pPr>
            <w:r>
              <w:rPr>
                <w:rStyle w:val="C14"/>
                <w:rtl w:val="0"/>
              </w:rPr>
              <w:t>внебюджетные источники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257,00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>в том числе:</w:t>
            </w:r>
          </w:p>
        </w:tc>
      </w:tr>
    </w:tbl>
    <w:p>
      <w:pPr>
        <w:rPr>
          <w:rtl w:val="0"/>
        </w:rPr>
        <w:sectPr>
          <w:headerReference xmlns:r="http://schemas.openxmlformats.org/officeDocument/2006/relationships" w:type="default" r:id="RelHdr17"/>
          <w:footerReference xmlns:r="http://schemas.openxmlformats.org/officeDocument/2006/relationships" w:type="default" r:id="RelFtr17"/>
          <w:type w:val="nextPage"/>
          <w:pgMar w:left="1440" w:right="1440" w:top="950" w:bottom="1440" w:header="0" w:footer="0" w:gutter="0"/>
        </w:sectPr>
      </w:pPr>
    </w:p>
    <w:tbl>
      <w:tblPr>
        <w:bidiVisual w:val="0"/>
        <w:tblLayout w:type="fixed"/>
        <w:tblCellMar>
          <w:left w:w="0" w:type="dxa"/>
          <w:right w:w="0" w:type="dxa"/>
        </w:tblCellMar>
      </w:tblPr>
      <w:tblGrid>
        <w:gridCol w:w="285"/>
        <w:gridCol w:w="3255"/>
        <w:gridCol w:w="5535"/>
      </w:tblGrid>
      <w:tr>
        <w:trPr>
          <w:trHeight w:hRule="atLeast" w:val="561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0"/>
              <w:rPr>
                <w:rStyle w:val="C13"/>
                <w:rtl w:val="0"/>
              </w:rPr>
            </w:pP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2"/>
              <w:rPr>
                <w:rStyle w:val="C15"/>
                <w:rtl w:val="0"/>
              </w:rPr>
            </w:pPr>
            <w:r>
              <w:rPr>
                <w:rStyle w:val="C15"/>
                <w:rtl w:val="0"/>
              </w:rPr>
              <w:t xml:space="preserve">2014 год - 0,00 тыс. рублей, </w:t>
              <w:br w:type="textWrapping"/>
              <w:t xml:space="preserve">2015 год - 128,50 тыс. рублей, </w:t>
              <w:br w:type="textWrapping"/>
              <w:t xml:space="preserve">2016 год - 128,50 тыс. рублей, </w:t>
              <w:br w:type="textWrapping"/>
              <w:t xml:space="preserve">2017 год - 0,00 тыс. рублей, </w:t>
              <w:br w:type="textWrapping"/>
              <w:t xml:space="preserve">2018 год - 0,00 тыс. рублей, </w:t>
              <w:br w:type="textWrapping"/>
              <w:t xml:space="preserve">2019 год - 0,00 тыс. рублей, </w:t>
              <w:br w:type="textWrapping"/>
              <w:t xml:space="preserve">2020 год - 0,00 тыс. рублей, </w:t>
              <w:br w:type="textWrapping"/>
              <w:t xml:space="preserve">2021 год - 0,00 тыс. рублей, </w:t>
              <w:br w:type="textWrapping"/>
              <w:t xml:space="preserve">2022 год - 0,00 тыс. рублей, </w:t>
              <w:br w:type="textWrapping"/>
              <w:t xml:space="preserve">2023 год - 0,00 тыс. рублей, </w:t>
              <w:br w:type="textWrapping"/>
              <w:t xml:space="preserve">2024 год - 0,00 тыс. рублей, </w:t>
              <w:br w:type="textWrapping"/>
              <w:t xml:space="preserve">2025 год - 0,00 тыс. рублей, </w:t>
              <w:br w:type="textWrapping"/>
              <w:t xml:space="preserve">2026 год - 0,00 тыс. рублей, </w:t>
              <w:br w:type="textWrapping"/>
              <w:t xml:space="preserve">2027 год - 0,00 тыс. рублей, </w:t>
              <w:br w:type="textWrapping"/>
              <w:t xml:space="preserve">2028 год - 0,00 тыс. рублей, </w:t>
              <w:br w:type="textWrapping"/>
              <w:t xml:space="preserve">2029 год - 0,00 тыс. рублей, </w:t>
              <w:br w:type="textWrapping"/>
              <w:t>2030 год - 0,00 тыс. рублей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8"/>
              <w:rPr>
                <w:rStyle w:val="C11"/>
                <w:rtl w:val="0"/>
              </w:rPr>
            </w:pPr>
            <w:r>
              <w:rPr>
                <w:rStyle w:val="C11"/>
                <w:rtl w:val="0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9"/>
              <w:rPr>
                <w:rStyle w:val="C12"/>
                <w:rtl w:val="0"/>
              </w:rPr>
            </w:pPr>
            <w:r>
              <w:rPr>
                <w:rStyle w:val="C12"/>
                <w:rtl w:val="0"/>
              </w:rPr>
              <w:t>bisert.midural.ru</w:t>
            </w: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3"/>
              <w:rPr>
                <w:rStyle w:val="C16"/>
                <w:rtl w:val="0"/>
              </w:rPr>
            </w:pPr>
            <w:r>
              <w:rPr>
                <w:rStyle w:val="C16"/>
                <w:rtl w:val="0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4"/>
              <w:rPr>
                <w:rStyle w:val="C17"/>
                <w:rtl w:val="0"/>
              </w:rPr>
            </w:pP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3"/>
              <w:rPr>
                <w:rStyle w:val="C16"/>
                <w:rtl w:val="0"/>
              </w:rPr>
            </w:pPr>
            <w:r>
              <w:rPr>
                <w:rStyle w:val="C16"/>
                <w:rtl w:val="0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4"/>
              <w:rPr>
                <w:rStyle w:val="C17"/>
                <w:rtl w:val="0"/>
              </w:rPr>
            </w:pP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3"/>
              <w:rPr>
                <w:rStyle w:val="C16"/>
                <w:rtl w:val="0"/>
              </w:rPr>
            </w:pPr>
            <w:r>
              <w:rPr>
                <w:rStyle w:val="C16"/>
                <w:rtl w:val="0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4"/>
              <w:rPr>
                <w:rStyle w:val="C17"/>
                <w:rtl w:val="0"/>
              </w:rPr>
            </w:pP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3"/>
              <w:rPr>
                <w:rStyle w:val="C16"/>
                <w:rtl w:val="0"/>
              </w:rPr>
            </w:pPr>
            <w:r>
              <w:rPr>
                <w:rStyle w:val="C16"/>
                <w:rtl w:val="0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4"/>
              <w:rPr>
                <w:rStyle w:val="C17"/>
                <w:rtl w:val="0"/>
              </w:rPr>
            </w:pPr>
          </w:p>
        </w:tc>
      </w:tr>
      <w:tr>
        <w:trPr>
          <w:trHeight w:hRule="atLeast" w:val="360"/>
        </w:trPr>
        <w:tc>
          <w:tcPr>
            <w:tcW w:w="285" w:type="dxa"/>
          </w:tcPr>
          <w:p>
            <w:pPr>
              <w:rPr>
                <w:rStyle w:val="C3"/>
                <w:rtl w:val="0"/>
              </w:rPr>
            </w:pPr>
          </w:p>
        </w:tc>
        <w:tc>
          <w:tcPr>
            <w:tcW w:w="3255" w:type="dxa"/>
            <w:tcBorders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5"/>
              <w:rPr>
                <w:rStyle w:val="C18"/>
                <w:rtl w:val="0"/>
              </w:rPr>
            </w:pPr>
            <w:r>
              <w:rPr>
                <w:rStyle w:val="C18"/>
                <w:rtl w:val="0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shadow="0" w:frame="0" w:color="000000"/>
              <w:right w:val="single" w:sz="6" w:space="0" w:shadow="0" w:frame="0" w:color="000000"/>
            </w:tcBorders>
            <w:shd w:val="clear" w:color="auto" w:fill="auto"/>
            <w:vAlign w:val="top"/>
          </w:tcPr>
          <w:p>
            <w:pPr>
              <w:pStyle w:val="P16"/>
              <w:rPr>
                <w:rStyle w:val="C19"/>
                <w:rtl w:val="0"/>
              </w:rPr>
            </w:pPr>
          </w:p>
        </w:tc>
      </w:tr>
    </w:tbl>
    <w:p>
      <w:pPr>
        <w:spacing w:lineRule="exact" w:line="15"/>
        <w:rPr>
          <w:rtl w:val="0"/>
        </w:rPr>
      </w:pPr>
    </w:p>
    <w:sectPr>
      <w:headerReference xmlns:r="http://schemas.openxmlformats.org/officeDocument/2006/relationships" w:type="default" r:id="RelHdr18"/>
      <w:footerReference xmlns:r="http://schemas.openxmlformats.org/officeDocument/2006/relationships" w:type="default" r:id="RelFtr18"/>
      <w:type w:val="nextPage"/>
      <w:pgMar w:left="1440" w:right="1440" w:top="950" w:bottom="1440" w:header="0" w:footer="0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0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3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4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5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6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7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18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3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4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5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6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7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8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footer9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0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2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3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4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5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6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7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18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2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3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4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5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6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7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8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header9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rStyle w:val="C3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ompat>
    <w:doNotExpandShiftReturn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cs="Calibri" w:hAnsi="Calibri" w:eastAsia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</w:style>
  <w:style w:type="paragraph" w:styleId="P1">
    <w:name w:val="ParagraphStyle0"/>
    <w:hidden/>
    <w:pPr>
      <w:bidi w:val="0"/>
      <w:spacing w:before="0" w:after="0"/>
      <w:ind w:left="28" w:right="28"/>
      <w:jc w:val="center"/>
    </w:pPr>
  </w:style>
  <w:style w:type="paragraph" w:styleId="P2">
    <w:name w:val="ParagraphStyle1"/>
    <w:hidden/>
    <w:pPr>
      <w:bidi w:val="0"/>
      <w:spacing w:before="0" w:after="0"/>
      <w:ind w:left="28" w:right="28"/>
      <w:jc w:val="left"/>
    </w:pPr>
  </w:style>
  <w:style w:type="paragraph" w:styleId="P3">
    <w:name w:val="ParagraphStyle2"/>
    <w:hidden/>
    <w:pPr>
      <w:bidi w:val="0"/>
      <w:spacing w:before="0" w:after="0"/>
      <w:ind w:left="28" w:right="28"/>
      <w:jc w:val="left"/>
    </w:pPr>
  </w:style>
  <w:style w:type="paragraph" w:styleId="P4">
    <w:name w:val="ParagraphStyle3"/>
    <w:hidden/>
    <w:pPr>
      <w:bidi w:val="0"/>
      <w:spacing w:before="0" w:after="0"/>
      <w:ind w:left="28" w:right="28"/>
      <w:jc w:val="left"/>
    </w:pPr>
  </w:style>
  <w:style w:type="paragraph" w:styleId="P5">
    <w:name w:val="ParagraphStyle4"/>
    <w:hidden/>
    <w:pPr>
      <w:bidi w:val="0"/>
      <w:spacing w:before="0" w:after="0"/>
      <w:ind w:left="28" w:right="28"/>
      <w:jc w:val="left"/>
    </w:pPr>
  </w:style>
  <w:style w:type="paragraph" w:styleId="P6">
    <w:name w:val="ParagraphStyle5"/>
    <w:hidden/>
    <w:pPr>
      <w:bidi w:val="0"/>
      <w:spacing w:before="0" w:after="0"/>
      <w:ind w:left="28" w:right="28"/>
      <w:jc w:val="left"/>
    </w:pPr>
  </w:style>
  <w:style w:type="paragraph" w:styleId="P7">
    <w:name w:val="ParagraphStyle6"/>
    <w:hidden/>
    <w:pPr>
      <w:bidi w:val="0"/>
      <w:spacing w:before="0" w:after="0"/>
      <w:ind w:left="28" w:right="28"/>
      <w:jc w:val="left"/>
    </w:pPr>
  </w:style>
  <w:style w:type="paragraph" w:styleId="P8">
    <w:name w:val="ParagraphStyle7"/>
    <w:hidden/>
    <w:pPr>
      <w:bidi w:val="0"/>
      <w:spacing w:before="0" w:after="0"/>
      <w:ind w:left="115" w:right="0"/>
      <w:jc w:val="left"/>
    </w:pPr>
  </w:style>
  <w:style w:type="paragraph" w:styleId="P9">
    <w:name w:val="ParagraphStyle8"/>
    <w:hidden/>
    <w:pPr>
      <w:bidi w:val="0"/>
      <w:spacing w:before="0" w:after="0"/>
      <w:ind w:left="115" w:right="115"/>
      <w:jc w:val="both"/>
    </w:pPr>
  </w:style>
  <w:style w:type="paragraph" w:styleId="P10">
    <w:name w:val="ParagraphStyle9"/>
    <w:hidden/>
    <w:pPr>
      <w:bidi w:val="0"/>
      <w:spacing w:before="0" w:after="0"/>
      <w:ind w:left="115" w:right="0"/>
      <w:jc w:val="left"/>
    </w:pPr>
  </w:style>
  <w:style w:type="paragraph" w:styleId="P11">
    <w:name w:val="ParagraphStyle10"/>
    <w:hidden/>
    <w:pPr>
      <w:bidi w:val="0"/>
      <w:spacing w:before="0" w:after="0"/>
      <w:ind w:left="115" w:right="115"/>
      <w:jc w:val="both"/>
    </w:pPr>
  </w:style>
  <w:style w:type="paragraph" w:styleId="P12">
    <w:name w:val="ParagraphStyle11"/>
    <w:hidden/>
    <w:pPr>
      <w:bidi w:val="0"/>
      <w:spacing w:before="0" w:after="0"/>
      <w:ind w:left="115" w:right="0"/>
      <w:jc w:val="left"/>
    </w:pPr>
  </w:style>
  <w:style w:type="paragraph" w:styleId="P13">
    <w:name w:val="ParagraphStyle12"/>
    <w:hidden/>
    <w:pPr>
      <w:bidi w:val="0"/>
      <w:spacing w:before="0" w:after="0"/>
      <w:ind w:left="115" w:right="0"/>
      <w:jc w:val="left"/>
    </w:pPr>
  </w:style>
  <w:style w:type="paragraph" w:styleId="P14">
    <w:name w:val="ParagraphStyle13"/>
    <w:hidden/>
    <w:pPr>
      <w:bidi w:val="0"/>
      <w:spacing w:before="0" w:after="0"/>
      <w:ind w:left="115" w:right="0"/>
      <w:jc w:val="left"/>
    </w:pPr>
  </w:style>
  <w:style w:type="paragraph" w:styleId="P15">
    <w:name w:val="ParagraphStyle14"/>
    <w:hidden/>
    <w:pPr>
      <w:bidi w:val="0"/>
      <w:spacing w:before="0" w:after="0"/>
      <w:ind w:left="115" w:right="0"/>
      <w:jc w:val="left"/>
    </w:pPr>
  </w:style>
  <w:style w:type="paragraph" w:styleId="P16">
    <w:name w:val="ParagraphStyle15"/>
    <w:hidden/>
    <w:pPr>
      <w:bidi w:val="0"/>
      <w:spacing w:before="0" w:after="0"/>
      <w:ind w:left="115" w:right="0"/>
      <w:jc w:val="left"/>
    </w:pPr>
  </w:style>
  <w:style w:type="character" w:styleId="C0" w:default="1">
    <w:name w:val="Default Paragraph Font"/>
    <w:semiHidden/>
  </w:style>
  <w:style w:type="character" w:styleId="C1">
    <w:name w:val="Line Number"/>
    <w:basedOn w:val="C0"/>
    <w:semiHidden/>
  </w:style>
  <w:style w:type="character" w:styleId="C2">
    <w:name w:val="Hyperlink"/>
    <w:rPr>
      <w:color w:val="0000FF"/>
      <w:u w:val="single"/>
    </w:rPr>
  </w:style>
  <w:style w:type="character" w:styleId="C3">
    <w:name w:val="FakeCharacterStyle"/>
    <w:hidden/>
    <w:rPr>
      <w:sz w:val="1"/>
      <w:szCs w:val="1"/>
    </w:rPr>
  </w:style>
  <w:style w:type="character" w:styleId="C4">
    <w:name w:val="CharacterStyle0"/>
    <w:hidden/>
    <w:rPr>
      <w:rFonts w:ascii="Times New Roman" w:cs="Times New Roman" w:hAnsi="Times New Roman" w:eastAsia="Times New Roman"/>
      <w:b w:val="1"/>
      <w:i w:val="0"/>
      <w:strike w:val="0"/>
      <w:noProof w:val="1"/>
      <w:color w:val="000000"/>
      <w:sz w:val="28"/>
      <w:szCs w:val="28"/>
      <w:u w:val="none"/>
    </w:rPr>
  </w:style>
  <w:style w:type="character" w:styleId="C5">
    <w:name w:val="CharacterStyle1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6">
    <w:name w:val="CharacterStyle2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7">
    <w:name w:val="CharacterStyle3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8">
    <w:name w:val="CharacterStyle4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19"/>
      <w:szCs w:val="19"/>
      <w:u w:val="none"/>
    </w:rPr>
  </w:style>
  <w:style w:type="character" w:styleId="C9">
    <w:name w:val="CharacterStyle5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0">
    <w:name w:val="CharacterStyle6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1">
    <w:name w:val="CharacterStyle7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2">
    <w:name w:val="CharacterStyle8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3">
    <w:name w:val="CharacterStyle9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4">
    <w:name w:val="CharacterStyle10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5">
    <w:name w:val="CharacterStyle11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6">
    <w:name w:val="CharacterStyle12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7">
    <w:name w:val="CharacterStyle13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8">
    <w:name w:val="CharacterStyle14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character" w:styleId="C19">
    <w:name w:val="CharacterStyle15"/>
    <w:hidden/>
    <w:rPr>
      <w:rFonts w:ascii="Times New Roman" w:cs="Times New Roman" w:hAnsi="Times New Roman" w:eastAsia="Times New Roman"/>
      <w:b w:val="0"/>
      <w:i w:val="0"/>
      <w:strike w:val="0"/>
      <w:noProof w:val="1"/>
      <w:color w:val="000000"/>
      <w:sz w:val="28"/>
      <w:szCs w:val="28"/>
      <w:u w:val="non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Hdr2" Type="http://schemas.openxmlformats.org/officeDocument/2006/relationships/header" Target="header2.xml" /><Relationship Id="RelHdr3" Type="http://schemas.openxmlformats.org/officeDocument/2006/relationships/header" Target="header3.xml" /><Relationship Id="RelHdr4" Type="http://schemas.openxmlformats.org/officeDocument/2006/relationships/header" Target="header4.xml" /><Relationship Id="RelHdr5" Type="http://schemas.openxmlformats.org/officeDocument/2006/relationships/header" Target="header5.xml" /><Relationship Id="RelHdr6" Type="http://schemas.openxmlformats.org/officeDocument/2006/relationships/header" Target="header6.xml" /><Relationship Id="RelHdr7" Type="http://schemas.openxmlformats.org/officeDocument/2006/relationships/header" Target="header7.xml" /><Relationship Id="RelHdr8" Type="http://schemas.openxmlformats.org/officeDocument/2006/relationships/header" Target="header8.xml" /><Relationship Id="RelHdr9" Type="http://schemas.openxmlformats.org/officeDocument/2006/relationships/header" Target="header9.xml" /><Relationship Id="RelHdr10" Type="http://schemas.openxmlformats.org/officeDocument/2006/relationships/header" Target="header10.xml" /><Relationship Id="RelHdr11" Type="http://schemas.openxmlformats.org/officeDocument/2006/relationships/header" Target="header11.xml" /><Relationship Id="RelHdr12" Type="http://schemas.openxmlformats.org/officeDocument/2006/relationships/header" Target="header12.xml" /><Relationship Id="RelHdr13" Type="http://schemas.openxmlformats.org/officeDocument/2006/relationships/header" Target="header13.xml" /><Relationship Id="RelHdr14" Type="http://schemas.openxmlformats.org/officeDocument/2006/relationships/header" Target="header14.xml" /><Relationship Id="RelHdr15" Type="http://schemas.openxmlformats.org/officeDocument/2006/relationships/header" Target="header15.xml" /><Relationship Id="RelHdr16" Type="http://schemas.openxmlformats.org/officeDocument/2006/relationships/header" Target="header16.xml" /><Relationship Id="RelHdr17" Type="http://schemas.openxmlformats.org/officeDocument/2006/relationships/header" Target="header17.xml" /><Relationship Id="RelHdr18" Type="http://schemas.openxmlformats.org/officeDocument/2006/relationships/header" Target="header18.xml" /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Ftr3" Type="http://schemas.openxmlformats.org/officeDocument/2006/relationships/footer" Target="footer3.xml" /><Relationship Id="RelFtr4" Type="http://schemas.openxmlformats.org/officeDocument/2006/relationships/footer" Target="footer4.xml" /><Relationship Id="RelFtr5" Type="http://schemas.openxmlformats.org/officeDocument/2006/relationships/footer" Target="footer5.xml" /><Relationship Id="RelFtr6" Type="http://schemas.openxmlformats.org/officeDocument/2006/relationships/footer" Target="footer6.xml" /><Relationship Id="RelFtr7" Type="http://schemas.openxmlformats.org/officeDocument/2006/relationships/footer" Target="footer7.xml" /><Relationship Id="RelFtr8" Type="http://schemas.openxmlformats.org/officeDocument/2006/relationships/footer" Target="footer8.xml" /><Relationship Id="RelFtr9" Type="http://schemas.openxmlformats.org/officeDocument/2006/relationships/footer" Target="footer9.xml" /><Relationship Id="RelFtr10" Type="http://schemas.openxmlformats.org/officeDocument/2006/relationships/footer" Target="footer10.xml" /><Relationship Id="RelFtr11" Type="http://schemas.openxmlformats.org/officeDocument/2006/relationships/footer" Target="footer11.xml" /><Relationship Id="RelFtr12" Type="http://schemas.openxmlformats.org/officeDocument/2006/relationships/footer" Target="footer12.xml" /><Relationship Id="RelFtr13" Type="http://schemas.openxmlformats.org/officeDocument/2006/relationships/footer" Target="footer13.xml" /><Relationship Id="RelFtr14" Type="http://schemas.openxmlformats.org/officeDocument/2006/relationships/footer" Target="footer14.xml" /><Relationship Id="RelFtr15" Type="http://schemas.openxmlformats.org/officeDocument/2006/relationships/footer" Target="footer15.xml" /><Relationship Id="RelFtr16" Type="http://schemas.openxmlformats.org/officeDocument/2006/relationships/footer" Target="footer16.xml" /><Relationship Id="RelFtr17" Type="http://schemas.openxmlformats.org/officeDocument/2006/relationships/footer" Target="footer17.xml" /><Relationship Id="RelFtr18" Type="http://schemas.openxmlformats.org/officeDocument/2006/relationships/footer" Target="footer18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/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XVersion">
    <vt:lpwstr>21.2.3.0</vt:lpwstr>
  </property>
</Properties>
</file>